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D2CE7">
      <w:pPr>
        <w:widowControl/>
        <w:shd w:val="clear" w:color="auto" w:fill="FFFFFF"/>
        <w:jc w:val="center"/>
        <w:rPr>
          <w:rFonts w:ascii="微软雅黑" w:hAnsi="微软雅黑" w:eastAsia="微软雅黑" w:cs="宋体"/>
          <w:color w:val="999999"/>
          <w:kern w:val="0"/>
          <w:szCs w:val="21"/>
        </w:rPr>
      </w:pPr>
      <w:r>
        <w:rPr>
          <w:rFonts w:hint="eastAsia" w:ascii="微软雅黑" w:hAnsi="微软雅黑" w:eastAsia="微软雅黑" w:cs="宋体"/>
          <w:color w:val="000000"/>
          <w:kern w:val="0"/>
          <w:sz w:val="36"/>
          <w:szCs w:val="36"/>
        </w:rPr>
        <w:t>《安徽商贸职业技术学院学报》</w:t>
      </w:r>
    </w:p>
    <w:p w14:paraId="66183006">
      <w:pPr>
        <w:widowControl/>
        <w:shd w:val="clear" w:color="auto" w:fill="FFFFFF"/>
        <w:spacing w:line="480" w:lineRule="atLeast"/>
        <w:jc w:val="center"/>
        <w:rPr>
          <w:rFonts w:ascii="宋体" w:hAnsi="宋体" w:eastAsia="宋体" w:cs="宋体"/>
          <w:b/>
          <w:bCs/>
          <w:color w:val="666666"/>
          <w:kern w:val="0"/>
          <w:sz w:val="32"/>
        </w:rPr>
      </w:pPr>
      <w:r>
        <w:rPr>
          <w:rFonts w:hint="eastAsia" w:ascii="宋体" w:hAnsi="宋体" w:eastAsia="宋体" w:cs="宋体"/>
          <w:b/>
          <w:bCs/>
          <w:color w:val="666666"/>
          <w:kern w:val="0"/>
          <w:sz w:val="32"/>
        </w:rPr>
        <w:t>“三审三校一读”办法（修订版）</w:t>
      </w:r>
    </w:p>
    <w:p w14:paraId="694BD591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根据教育部《高等学校学报管理办法》和国家新闻出版署《关于严格执行期刊“三审制”和“三校一读”制度保证出版质量的通知》要求，为提高学报办刊质量，</w:t>
      </w:r>
      <w:bookmarkStart w:id="0" w:name="_GoBack"/>
      <w:bookmarkEnd w:id="0"/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制定本办法。</w:t>
      </w:r>
    </w:p>
    <w:p w14:paraId="701C4746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b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b/>
          <w:color w:val="666666"/>
          <w:kern w:val="0"/>
          <w:sz w:val="29"/>
          <w:szCs w:val="29"/>
        </w:rPr>
        <w:t>一、稿件的审阅</w:t>
      </w:r>
    </w:p>
    <w:p w14:paraId="502BC0DB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学报实行“三审定稿制”。首先对所有来稿逐一登记编号后进行三次审阅，然后正式进入编校程序。</w:t>
      </w:r>
    </w:p>
    <w:p w14:paraId="6F9F0068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（一）初审</w:t>
      </w:r>
    </w:p>
    <w:p w14:paraId="3092D2C1">
      <w:pPr>
        <w:widowControl/>
        <w:shd w:val="clear" w:color="auto" w:fill="FFFFFF"/>
        <w:spacing w:line="560" w:lineRule="exact"/>
        <w:ind w:firstLine="70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编辑部副主任负责来稿初审。经检索对重复率＜20%，无政治问题、无科学性错误、有新见解、观点明确、言之有理、持之有据、结构严谨、表达清楚，文章整体质量较好，符合学报发稿要求的稿件，安排进入复审阶段。</w:t>
      </w:r>
    </w:p>
    <w:p w14:paraId="4DA2E9E7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（二）复审</w:t>
      </w:r>
    </w:p>
    <w:p w14:paraId="1C531017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编辑部主任负责复审，对稿件的学术价值，数据是否真实，论证是否科学、合乎逻辑等作出评价，按照审稿要求提出书面意见，决定是否录用。复审未通过的稿件，不得进入终审。</w:t>
      </w:r>
    </w:p>
    <w:p w14:paraId="49F53CD7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（三）终审</w:t>
      </w:r>
    </w:p>
    <w:p w14:paraId="79DF2208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经过初审、复审的稿件，由执行编辑进行整理、编目，在限定时间内送交学报主编进行终审，对稿件的学术水准及整体质量进行严格把关，决定稿件是否采用。</w:t>
      </w:r>
    </w:p>
    <w:p w14:paraId="139CB899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b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b/>
          <w:color w:val="666666"/>
          <w:kern w:val="0"/>
          <w:sz w:val="29"/>
          <w:szCs w:val="29"/>
        </w:rPr>
        <w:t>二、稿件的编辑校对</w:t>
      </w:r>
    </w:p>
    <w:p w14:paraId="3D70F6DA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稿件决定刊用后，由执行编辑进行编辑处理。对经过三审确定使用的稿件，执行编辑要首先进行编辑加工，进行必要的文字技术处理，尽量做到齐、清、定，并整理出相应的电子文稿，然后交付印刷。</w:t>
      </w:r>
    </w:p>
    <w:p w14:paraId="21008847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（一）一校</w:t>
      </w:r>
    </w:p>
    <w:p w14:paraId="2C9F51EC">
      <w:pPr>
        <w:widowControl/>
        <w:shd w:val="clear" w:color="auto" w:fill="FFFFFF"/>
        <w:spacing w:line="560" w:lineRule="exact"/>
        <w:ind w:firstLine="420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稿件排版打印后交执行编辑进行一校，对稿件的格式规范进行把关。</w:t>
      </w:r>
    </w:p>
    <w:p w14:paraId="34C00AC4">
      <w:pPr>
        <w:widowControl/>
        <w:shd w:val="clear" w:color="auto" w:fill="FFFFFF"/>
        <w:spacing w:line="560" w:lineRule="exact"/>
        <w:ind w:firstLine="420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（二）二校</w:t>
      </w:r>
    </w:p>
    <w:p w14:paraId="2AF7A537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责任编辑负责，对于一校修改后的稿件，进行通校，并从内容上、文字上、技术上进行统一校对把关。</w:t>
      </w:r>
    </w:p>
    <w:p w14:paraId="55D192B3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（三）三校</w:t>
      </w:r>
    </w:p>
    <w:p w14:paraId="3DEAFA7E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学报主编（编辑部主任/编辑部副主任）负责三校，对稿件进行整体全面的把关。</w:t>
      </w:r>
    </w:p>
    <w:p w14:paraId="23D817FE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b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b/>
          <w:color w:val="666666"/>
          <w:kern w:val="0"/>
          <w:sz w:val="29"/>
          <w:szCs w:val="29"/>
        </w:rPr>
        <w:t>三、稿件的通读</w:t>
      </w:r>
    </w:p>
    <w:p w14:paraId="7CAEBA8B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聘请资深编辑或校对（高级职称）为通读专家。发排后印出的清样由通读专家及时进行通读，并写出通读意见。执行编辑根据通读意见对清样进行处理，处理后交由主编（编辑部主任）签发。</w:t>
      </w:r>
    </w:p>
    <w:p w14:paraId="14200678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四、定稿的签发</w:t>
      </w:r>
    </w:p>
    <w:p w14:paraId="0C841356">
      <w:pPr>
        <w:widowControl/>
        <w:shd w:val="clear" w:color="auto" w:fill="FFFFFF"/>
        <w:spacing w:line="560" w:lineRule="exact"/>
        <w:ind w:firstLine="555"/>
        <w:rPr>
          <w:rFonts w:ascii="宋体" w:hAnsi="宋体" w:eastAsia="宋体" w:cs="宋体"/>
          <w:color w:val="666666"/>
          <w:kern w:val="0"/>
          <w:sz w:val="29"/>
          <w:szCs w:val="29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>经过多次校对及通读，最后确认准确无误的文稿（含目录、四封文字、图表等），由学报主编签字后印刷。</w:t>
      </w:r>
    </w:p>
    <w:p w14:paraId="584778CD">
      <w:pPr>
        <w:widowControl/>
        <w:shd w:val="clear" w:color="auto" w:fill="FFFFFF"/>
        <w:spacing w:line="560" w:lineRule="exact"/>
        <w:ind w:firstLine="555"/>
        <w:rPr>
          <w:rFonts w:ascii="宋体" w:hAnsi="宋体" w:eastAsia="宋体" w:cs="宋体"/>
          <w:color w:val="666666"/>
          <w:kern w:val="0"/>
          <w:sz w:val="29"/>
          <w:szCs w:val="29"/>
        </w:rPr>
      </w:pPr>
    </w:p>
    <w:p w14:paraId="1126FAF0">
      <w:pPr>
        <w:widowControl/>
        <w:shd w:val="clear" w:color="auto" w:fill="FFFFFF"/>
        <w:spacing w:line="560" w:lineRule="exact"/>
        <w:ind w:firstLine="555"/>
        <w:rPr>
          <w:rFonts w:ascii="宋体" w:hAnsi="宋体" w:eastAsia="宋体" w:cs="宋体"/>
          <w:color w:val="666666"/>
          <w:kern w:val="0"/>
          <w:sz w:val="29"/>
          <w:szCs w:val="29"/>
        </w:rPr>
      </w:pPr>
    </w:p>
    <w:p w14:paraId="6491E310">
      <w:pPr>
        <w:widowControl/>
        <w:shd w:val="clear" w:color="auto" w:fill="FFFFFF"/>
        <w:spacing w:line="560" w:lineRule="exact"/>
        <w:ind w:firstLine="555"/>
        <w:rPr>
          <w:rFonts w:ascii="宋体" w:hAnsi="宋体" w:eastAsia="宋体" w:cs="宋体"/>
          <w:color w:val="666666"/>
          <w:kern w:val="0"/>
          <w:sz w:val="29"/>
          <w:szCs w:val="29"/>
        </w:rPr>
      </w:pPr>
    </w:p>
    <w:p w14:paraId="361E2D6F">
      <w:pPr>
        <w:widowControl/>
        <w:shd w:val="clear" w:color="auto" w:fill="FFFFFF"/>
        <w:spacing w:line="560" w:lineRule="exact"/>
        <w:ind w:firstLine="555"/>
        <w:rPr>
          <w:rFonts w:ascii="宋体" w:hAnsi="宋体" w:eastAsia="宋体" w:cs="宋体"/>
          <w:color w:val="666666"/>
          <w:kern w:val="0"/>
          <w:sz w:val="29"/>
          <w:szCs w:val="29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 xml:space="preserve">                   《安徽商贸职业技术学院》学报编辑部</w:t>
      </w:r>
    </w:p>
    <w:p w14:paraId="74CD3583">
      <w:pPr>
        <w:widowControl/>
        <w:shd w:val="clear" w:color="auto" w:fill="FFFFFF"/>
        <w:spacing w:line="560" w:lineRule="exact"/>
        <w:ind w:firstLine="555"/>
        <w:rPr>
          <w:rFonts w:ascii="微软雅黑" w:hAnsi="微软雅黑" w:eastAsia="微软雅黑" w:cs="宋体"/>
          <w:color w:val="666666"/>
          <w:kern w:val="0"/>
          <w:szCs w:val="21"/>
        </w:rPr>
      </w:pPr>
      <w:r>
        <w:rPr>
          <w:rFonts w:hint="eastAsia" w:ascii="宋体" w:hAnsi="宋体" w:eastAsia="宋体" w:cs="宋体"/>
          <w:color w:val="666666"/>
          <w:kern w:val="0"/>
          <w:sz w:val="29"/>
          <w:szCs w:val="29"/>
        </w:rPr>
        <w:t xml:space="preserve">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2048C"/>
    <w:rsid w:val="001860E3"/>
    <w:rsid w:val="00610FE6"/>
    <w:rsid w:val="007C0E30"/>
    <w:rsid w:val="0082048C"/>
    <w:rsid w:val="00910E5F"/>
    <w:rsid w:val="00A26649"/>
    <w:rsid w:val="6C330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  <w:style w:type="character" w:customStyle="1" w:styleId="11">
    <w:name w:val="标题 2 Char"/>
    <w:basedOn w:val="7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2</Pages>
  <Words>808</Words>
  <Characters>813</Characters>
  <Lines>6</Lines>
  <Paragraphs>1</Paragraphs>
  <TotalTime>15</TotalTime>
  <ScaleCrop>false</ScaleCrop>
  <LinksUpToDate>false</LinksUpToDate>
  <CharactersWithSpaces>863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2026-09-23T04:37:00Z</dcterms:created>
  <dc:creator>汤太祥</dc:creator>
  <cp:lastModifiedBy>冉</cp:lastModifiedBy>
  <dcterms:modified xsi:type="dcterms:W3CDTF">2026-09-28T01:26:12Z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eyJoZGlkIjoiODcwZDA5M2RhMzNmNGNhOTkzNTcwYmExOTA4MTY0MmEiLCJ1c2VySWQiOiIzODUwNTkwNTAifQ==</vt:lpwstr>
  </property>
  <property fmtid="{D5CDD505-2E9C-101B-9397-08002B2CF9AE}" pid="3" name="KSOProductBuildVer">
    <vt:lpwstr>2052-12.1.0.28505</vt:lpwstr>
  </property>
  <property fmtid="{D5CDD505-2E9C-101B-9397-08002B2CF9AE}" pid="4" name="ICV">
    <vt:lpwstr>2BA9975C604840BDABCD2861756EF02B_12</vt:lpwstr>
  </property>
</Properties>
</file>